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City of Ypsilanti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Downtown Development Authority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Board of Directors Meeting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Thursday, March 15, 2018 – 8:30 a.m.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SPARK East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76 North Huron St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Agenda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The </w:t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>Mission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 of the Ypsilanti Downtown Development Authority (YDDA) is to undertake district-wide improvements that have the greatest impact in strengthening the downtown areas and attracting new business. The primary goal of the YDDA is to implement positive economic</w:t>
      </w:r>
      <w:r w:rsidRPr="00873639">
        <w:rPr>
          <w:rFonts w:asciiTheme="majorHAnsi" w:eastAsia="Calibri" w:hAnsiTheme="majorHAnsi" w:cs="Calibri"/>
          <w:sz w:val="24"/>
          <w:szCs w:val="24"/>
        </w:rPr>
        <w:t>, physical, aesthetic, and community changes in each of our four districts.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D60C1F" w:rsidRPr="00873639" w:rsidRDefault="00873639">
      <w:pPr>
        <w:numPr>
          <w:ilvl w:val="0"/>
          <w:numId w:val="1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Call to Order</w:t>
      </w:r>
    </w:p>
    <w:p w:rsidR="00D60C1F" w:rsidRPr="00873639" w:rsidRDefault="00873639">
      <w:pPr>
        <w:numPr>
          <w:ilvl w:val="0"/>
          <w:numId w:val="1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Roll Call</w:t>
      </w:r>
    </w:p>
    <w:p w:rsidR="00D60C1F" w:rsidRPr="00873639" w:rsidRDefault="00873639">
      <w:pPr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D60C1F" w:rsidRPr="00873639" w:rsidRDefault="00873639">
      <w:pPr>
        <w:ind w:left="36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Amanda Edmonds        P   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Jelani McGadney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P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</w:r>
    </w:p>
    <w:p w:rsidR="00D60C1F" w:rsidRPr="00873639" w:rsidRDefault="00873639">
      <w:pPr>
        <w:ind w:left="360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Jessica French               A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Andrew O’Neal 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P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                     </w:t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    </w:t>
      </w:r>
    </w:p>
    <w:p w:rsidR="00D60C1F" w:rsidRPr="00873639" w:rsidRDefault="00873639">
      <w:pPr>
        <w:ind w:left="360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Adam Gainsley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       P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Diana Wong  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>A</w:t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                             </w:t>
      </w:r>
    </w:p>
    <w:p w:rsidR="00D60C1F" w:rsidRPr="00873639" w:rsidRDefault="00873639">
      <w:pPr>
        <w:ind w:left="360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Martha Cleary               P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Mark Teachout (C)       P      </w:t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                            </w:t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ab/>
      </w:r>
    </w:p>
    <w:p w:rsidR="00D60C1F" w:rsidRPr="00873639" w:rsidRDefault="00873639">
      <w:pPr>
        <w:ind w:left="36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Ben Harrington             P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Dieter Otto       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       </w:t>
      </w: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P      </w:t>
      </w:r>
    </w:p>
    <w:p w:rsidR="00D60C1F" w:rsidRPr="00873639" w:rsidRDefault="00873639">
      <w:pPr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Introductions</w:t>
      </w:r>
    </w:p>
    <w:p w:rsidR="00D60C1F" w:rsidRPr="00873639" w:rsidRDefault="00873639">
      <w:pPr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ab/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Prospective City Attorney - Scott </w:t>
      </w:r>
      <w:proofErr w:type="spellStart"/>
      <w:r w:rsidRPr="00873639">
        <w:rPr>
          <w:rFonts w:asciiTheme="majorHAnsi" w:eastAsia="Calibri" w:hAnsiTheme="majorHAnsi" w:cs="Calibri"/>
          <w:sz w:val="24"/>
          <w:szCs w:val="24"/>
        </w:rPr>
        <w:t>Munzel</w:t>
      </w:r>
      <w:proofErr w:type="spellEnd"/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Approval of Agenda </w:t>
      </w:r>
      <w:r w:rsidRPr="00873639">
        <w:rPr>
          <w:rFonts w:asciiTheme="majorHAnsi" w:eastAsia="Calibri" w:hAnsiTheme="majorHAnsi" w:cs="Calibri"/>
          <w:sz w:val="24"/>
          <w:szCs w:val="24"/>
        </w:rPr>
        <w:t>(X)*</w:t>
      </w:r>
    </w:p>
    <w:p w:rsidR="00D60C1F" w:rsidRPr="00873639" w:rsidRDefault="00873639">
      <w:pPr>
        <w:ind w:left="720"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>Dieter Otto motioned to approve the agenda and Adam Gainsley supported the motion.  The committee approved the agenda.</w:t>
      </w:r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Approval of February 15, 2018 Minutes </w:t>
      </w:r>
      <w:r w:rsidRPr="00873639">
        <w:rPr>
          <w:rFonts w:asciiTheme="majorHAnsi" w:eastAsia="Calibri" w:hAnsiTheme="majorHAnsi" w:cs="Calibri"/>
          <w:sz w:val="24"/>
          <w:szCs w:val="24"/>
        </w:rPr>
        <w:t>(X)*</w:t>
      </w:r>
    </w:p>
    <w:p w:rsidR="00D60C1F" w:rsidRPr="00873639" w:rsidRDefault="00873639">
      <w:pPr>
        <w:ind w:left="72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Adam Gainsley motioned to approve the February 15, 2018 meeting notes and Amanda </w:t>
      </w:r>
      <w:proofErr w:type="gramStart"/>
      <w:r w:rsidRPr="00873639">
        <w:rPr>
          <w:rFonts w:asciiTheme="majorHAnsi" w:eastAsia="Calibri" w:hAnsiTheme="majorHAnsi" w:cs="Calibri"/>
          <w:sz w:val="24"/>
          <w:szCs w:val="24"/>
        </w:rPr>
        <w:t>Edmonds  supported</w:t>
      </w:r>
      <w:proofErr w:type="gramEnd"/>
      <w:r w:rsidRPr="00873639">
        <w:rPr>
          <w:rFonts w:asciiTheme="majorHAnsi" w:eastAsia="Calibri" w:hAnsiTheme="majorHAnsi" w:cs="Calibri"/>
          <w:sz w:val="24"/>
          <w:szCs w:val="24"/>
        </w:rPr>
        <w:t xml:space="preserve"> the motion.</w:t>
      </w:r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Audience Participation (3 minutes each)</w:t>
      </w:r>
    </w:p>
    <w:p w:rsidR="00D60C1F" w:rsidRPr="00873639" w:rsidRDefault="00873639">
      <w:pPr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ab/>
        <w:t>n/a</w:t>
      </w:r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hAnsiTheme="majorHAns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Staff Report/Financial Report </w:t>
      </w:r>
      <w:r w:rsidRPr="00873639">
        <w:rPr>
          <w:rFonts w:asciiTheme="majorHAnsi" w:eastAsia="Calibri" w:hAnsiTheme="majorHAnsi" w:cs="Calibri"/>
          <w:sz w:val="24"/>
          <w:szCs w:val="24"/>
        </w:rPr>
        <w:t>(X)</w:t>
      </w:r>
    </w:p>
    <w:p w:rsidR="00D60C1F" w:rsidRPr="00873639" w:rsidRDefault="00873639">
      <w:pPr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ab/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Joe Meyers presented the staff and financial report and fielded questions. </w:t>
      </w:r>
    </w:p>
    <w:p w:rsidR="00D60C1F" w:rsidRPr="00873639" w:rsidRDefault="00D60C1F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Standing Committee Reports</w:t>
      </w:r>
    </w:p>
    <w:p w:rsidR="00D60C1F" w:rsidRPr="00873639" w:rsidRDefault="00873639">
      <w:pPr>
        <w:numPr>
          <w:ilvl w:val="1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Operations and Finance Committee (X)*</w:t>
      </w:r>
    </w:p>
    <w:p w:rsidR="00D60C1F" w:rsidRPr="00873639" w:rsidRDefault="00873639">
      <w:pPr>
        <w:numPr>
          <w:ilvl w:val="2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>Michigan Vintage VW Club Maple Street Lot Request (X)*</w:t>
      </w:r>
    </w:p>
    <w:p w:rsidR="00D60C1F" w:rsidRPr="00873639" w:rsidRDefault="00873639">
      <w:pPr>
        <w:ind w:left="216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lastRenderedPageBreak/>
        <w:t>Discussion ensued over the usage of the maple street lot on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 May 19, 2018 by the Vintage VW Club.</w:t>
      </w:r>
    </w:p>
    <w:p w:rsidR="00D60C1F" w:rsidRPr="00873639" w:rsidRDefault="00D60C1F">
      <w:pPr>
        <w:ind w:left="2160"/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The following preamble and resolution were offered by Member Dieter Otto and supported by Member Jelani McGadney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the Michigan Vintage VW Club to have a Single Car Slow Slalom in the Maple Street Lot for May</w:t>
      </w:r>
      <w:r w:rsidRPr="00873639">
        <w:rPr>
          <w:rFonts w:asciiTheme="majorHAnsi" w:hAnsiTheme="majorHAnsi"/>
          <w:sz w:val="24"/>
          <w:szCs w:val="24"/>
        </w:rPr>
        <w:t xml:space="preserve"> 19th; and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the Michigan Vintage VW Club has requested sole usage of the lot for the event in accordance with the Maple Street Lot Policy adopted at the August 17, 2017 meeting,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rPr>
          <w:rFonts w:asciiTheme="majorHAnsi" w:hAnsiTheme="majorHAnsi"/>
          <w:b/>
          <w:sz w:val="24"/>
          <w:szCs w:val="24"/>
        </w:rPr>
      </w:pPr>
      <w:r w:rsidRPr="00873639">
        <w:rPr>
          <w:rFonts w:asciiTheme="majorHAnsi" w:hAnsiTheme="majorHAnsi"/>
          <w:b/>
          <w:sz w:val="24"/>
          <w:szCs w:val="24"/>
        </w:rPr>
        <w:t>NOW, THEREFORE, BE IT RESOLVED THAT: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1.</w:t>
      </w:r>
      <w:r w:rsidRPr="00873639">
        <w:rPr>
          <w:rFonts w:asciiTheme="majorHAnsi" w:hAnsiTheme="majorHAnsi"/>
          <w:sz w:val="24"/>
          <w:szCs w:val="24"/>
        </w:rPr>
        <w:tab/>
      </w:r>
      <w:proofErr w:type="gramStart"/>
      <w:r w:rsidRPr="00873639">
        <w:rPr>
          <w:rFonts w:asciiTheme="majorHAnsi" w:hAnsiTheme="majorHAnsi"/>
          <w:sz w:val="24"/>
          <w:szCs w:val="24"/>
        </w:rPr>
        <w:t>the</w:t>
      </w:r>
      <w:proofErr w:type="gramEnd"/>
      <w:r w:rsidRPr="00873639">
        <w:rPr>
          <w:rFonts w:asciiTheme="majorHAnsi" w:hAnsiTheme="majorHAnsi"/>
          <w:sz w:val="24"/>
          <w:szCs w:val="24"/>
        </w:rPr>
        <w:t xml:space="preserve"> YDDA approves the Mi</w:t>
      </w:r>
      <w:r w:rsidRPr="00873639">
        <w:rPr>
          <w:rFonts w:asciiTheme="majorHAnsi" w:hAnsiTheme="majorHAnsi"/>
          <w:sz w:val="24"/>
          <w:szCs w:val="24"/>
        </w:rPr>
        <w:t>chigan Vintage VW Club use of the Maple Street lot on May 19, 2018 for their Single Car Slow Slalom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2.</w:t>
      </w:r>
      <w:r w:rsidRPr="00873639">
        <w:rPr>
          <w:rFonts w:asciiTheme="majorHAnsi" w:hAnsiTheme="majorHAnsi"/>
          <w:sz w:val="24"/>
          <w:szCs w:val="24"/>
        </w:rPr>
        <w:tab/>
        <w:t>Consistent with current City of Ypsilanti Event Fees and Policies the Ypsilanti District Library will be charged $250 for use of the Maple St. Lot during</w:t>
      </w:r>
      <w:r w:rsidRPr="00873639">
        <w:rPr>
          <w:rFonts w:asciiTheme="majorHAnsi" w:hAnsiTheme="majorHAnsi"/>
          <w:sz w:val="24"/>
          <w:szCs w:val="24"/>
        </w:rPr>
        <w:t xml:space="preserve"> the event payable to the Ypsilanti Downtown Development Authority. 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3.</w:t>
      </w:r>
      <w:r w:rsidRPr="00873639">
        <w:rPr>
          <w:rFonts w:asciiTheme="majorHAnsi" w:hAnsiTheme="majorHAnsi"/>
          <w:sz w:val="24"/>
          <w:szCs w:val="24"/>
        </w:rPr>
        <w:tab/>
        <w:t>The Ypsilanti DDA will provide signage indicating the lot is closed for a private event and the Michigan Vintage VW Club will be required to provide additional security measures as th</w:t>
      </w:r>
      <w:r w:rsidRPr="00873639">
        <w:rPr>
          <w:rFonts w:asciiTheme="majorHAnsi" w:hAnsiTheme="majorHAnsi"/>
          <w:sz w:val="24"/>
          <w:szCs w:val="24"/>
        </w:rPr>
        <w:t xml:space="preserve">ey see fit. 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4.</w:t>
      </w:r>
      <w:r w:rsidRPr="00873639">
        <w:rPr>
          <w:rFonts w:asciiTheme="majorHAnsi" w:hAnsiTheme="majorHAnsi"/>
          <w:sz w:val="24"/>
          <w:szCs w:val="24"/>
        </w:rPr>
        <w:tab/>
        <w:t>All resolutions and parts of resolutions insofar as they conflict with the provisions of this resolution and the same hereby are rescinded.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AYES: Amanda Edmonds, Adam </w:t>
      </w:r>
      <w:proofErr w:type="spellStart"/>
      <w:r w:rsidRPr="00873639">
        <w:rPr>
          <w:rFonts w:asciiTheme="majorHAnsi" w:hAnsiTheme="majorHAnsi"/>
          <w:sz w:val="24"/>
          <w:szCs w:val="24"/>
        </w:rPr>
        <w:t>Gainsely</w:t>
      </w:r>
      <w:proofErr w:type="spellEnd"/>
      <w:proofErr w:type="gramStart"/>
      <w:r w:rsidRPr="00873639">
        <w:rPr>
          <w:rFonts w:asciiTheme="majorHAnsi" w:hAnsiTheme="majorHAnsi"/>
          <w:sz w:val="24"/>
          <w:szCs w:val="24"/>
        </w:rPr>
        <w:t>,  Martha</w:t>
      </w:r>
      <w:proofErr w:type="gramEnd"/>
      <w:r w:rsidRPr="00873639">
        <w:rPr>
          <w:rFonts w:asciiTheme="majorHAnsi" w:hAnsiTheme="majorHAnsi"/>
          <w:sz w:val="24"/>
          <w:szCs w:val="24"/>
        </w:rPr>
        <w:t xml:space="preserve"> Cleary, Ben Harrington, Jelani McGadney, Andrew O’Neal, Mark Teachout, Dieter Otto.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NAYS: None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ABSTAINED: None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YES:     8         NO:    0   </w:t>
      </w:r>
      <w:r w:rsidRPr="00873639">
        <w:rPr>
          <w:rFonts w:asciiTheme="majorHAnsi" w:hAnsiTheme="majorHAnsi"/>
          <w:sz w:val="24"/>
          <w:szCs w:val="24"/>
        </w:rPr>
        <w:tab/>
        <w:t xml:space="preserve">ABSENT: 2        </w:t>
      </w:r>
      <w:r w:rsidRPr="00873639">
        <w:rPr>
          <w:rFonts w:asciiTheme="majorHAnsi" w:hAnsiTheme="majorHAnsi"/>
          <w:sz w:val="24"/>
          <w:szCs w:val="24"/>
        </w:rPr>
        <w:tab/>
        <w:t>VOTE: passed</w:t>
      </w:r>
    </w:p>
    <w:p w:rsidR="00D60C1F" w:rsidRPr="00873639" w:rsidRDefault="00D60C1F">
      <w:pPr>
        <w:ind w:left="2160"/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  </w:t>
      </w:r>
    </w:p>
    <w:p w:rsidR="00D60C1F" w:rsidRPr="00873639" w:rsidRDefault="00873639">
      <w:pPr>
        <w:numPr>
          <w:ilvl w:val="2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lastRenderedPageBreak/>
        <w:t>Downtown Building Rehab Grant Funding Request *</w:t>
      </w:r>
    </w:p>
    <w:p w:rsidR="00D60C1F" w:rsidRPr="00873639" w:rsidRDefault="00873639">
      <w:pPr>
        <w:ind w:left="216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Discussion ensued over the amount of funding for grants in downtown. The current request for a grant is larger than the total we have </w:t>
      </w:r>
      <w:proofErr w:type="spellStart"/>
      <w:r w:rsidRPr="00873639">
        <w:rPr>
          <w:rFonts w:asciiTheme="majorHAnsi" w:eastAsia="Calibri" w:hAnsiTheme="majorHAnsi" w:cs="Calibri"/>
          <w:sz w:val="24"/>
          <w:szCs w:val="24"/>
        </w:rPr>
        <w:t>have</w:t>
      </w:r>
      <w:proofErr w:type="spellEnd"/>
      <w:r w:rsidRPr="00873639">
        <w:rPr>
          <w:rFonts w:asciiTheme="majorHAnsi" w:eastAsia="Calibri" w:hAnsiTheme="majorHAnsi" w:cs="Calibri"/>
          <w:sz w:val="24"/>
          <w:szCs w:val="24"/>
        </w:rPr>
        <w:t xml:space="preserve"> in funding.</w:t>
      </w:r>
    </w:p>
    <w:p w:rsidR="00D60C1F" w:rsidRPr="00873639" w:rsidRDefault="00873639">
      <w:pPr>
        <w:ind w:left="216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>Motion by Adam Gainsley supported by Jelani McGadney to i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ncrease funding in downtown grants by $1,200 and reevaluate funding as requests become available. Motion carried - Unanimous. </w:t>
      </w:r>
    </w:p>
    <w:p w:rsidR="00D60C1F" w:rsidRPr="00873639" w:rsidRDefault="00873639">
      <w:pPr>
        <w:numPr>
          <w:ilvl w:val="1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Grants Committee</w:t>
      </w:r>
    </w:p>
    <w:p w:rsidR="00D60C1F" w:rsidRPr="00873639" w:rsidRDefault="00873639">
      <w:pPr>
        <w:numPr>
          <w:ilvl w:val="2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>Tinker Tech Building Rehab Grant Request (X)*</w:t>
      </w:r>
    </w:p>
    <w:p w:rsidR="00D60C1F" w:rsidRPr="00873639" w:rsidRDefault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Discussion ensued over the grant request for Tinker Tech. </w:t>
      </w:r>
    </w:p>
    <w:p w:rsidR="00D60C1F" w:rsidRPr="00873639" w:rsidRDefault="00D60C1F">
      <w:pPr>
        <w:ind w:left="1440"/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873639">
      <w:pPr>
        <w:ind w:left="144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ab/>
      </w:r>
      <w:r w:rsidRPr="00873639">
        <w:rPr>
          <w:rFonts w:asciiTheme="majorHAnsi" w:hAnsiTheme="majorHAnsi"/>
          <w:sz w:val="24"/>
          <w:szCs w:val="24"/>
        </w:rPr>
        <w:t xml:space="preserve">The </w:t>
      </w:r>
      <w:r w:rsidRPr="00873639">
        <w:rPr>
          <w:rFonts w:asciiTheme="majorHAnsi" w:hAnsiTheme="majorHAnsi"/>
          <w:sz w:val="24"/>
          <w:szCs w:val="24"/>
        </w:rPr>
        <w:t>following preamble and resolution were offered by Member Adam Gainsley and supported by Member Jelani McGadney</w:t>
      </w:r>
      <w:r w:rsidRPr="00873639">
        <w:rPr>
          <w:rFonts w:asciiTheme="majorHAnsi" w:hAnsiTheme="majorHAnsi"/>
          <w:sz w:val="24"/>
          <w:szCs w:val="24"/>
        </w:rPr>
        <w:tab/>
        <w:t>.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WHEREAS, the Ypsilanti Downtown Development Authority (YDDA) Grants Committee is charged with supporting initiatives that enhance downtown’s </w:t>
      </w:r>
      <w:r w:rsidRPr="00873639">
        <w:rPr>
          <w:rFonts w:asciiTheme="majorHAnsi" w:hAnsiTheme="majorHAnsi"/>
          <w:sz w:val="24"/>
          <w:szCs w:val="24"/>
        </w:rPr>
        <w:t>physical environment by promoting walkability and creating an inviting atmosphere; and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part of an inviting atmosphere is vibrant storefronts and revitalized buildings; and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the YDDA Grants Committee has expressed a commitment to provid</w:t>
      </w:r>
      <w:r w:rsidRPr="00873639">
        <w:rPr>
          <w:rFonts w:asciiTheme="majorHAnsi" w:hAnsiTheme="majorHAnsi"/>
          <w:sz w:val="24"/>
          <w:szCs w:val="24"/>
        </w:rPr>
        <w:t>e financial incentives to spur the redevelopment and revitalization of buildings throughout the DDA districts; and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the YDDA Building Rehab Grant Program set aside $20,000 for grant awards for the Downtown Districts with the funds to be drawn from the appropriate TIF reserve; and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the YDDA has received a grant request from Tinker Tech for interior ren</w:t>
      </w:r>
      <w:r w:rsidRPr="00873639">
        <w:rPr>
          <w:rFonts w:asciiTheme="majorHAnsi" w:hAnsiTheme="majorHAnsi"/>
          <w:sz w:val="24"/>
          <w:szCs w:val="24"/>
        </w:rPr>
        <w:t>ovations to help business locate in downtown.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upon review by the Grants Committee it has been determined that the application was complete and the request would be an appropriate use of the grant program; and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WHEREAS, the work committed to fro</w:t>
      </w:r>
      <w:r w:rsidRPr="00873639">
        <w:rPr>
          <w:rFonts w:asciiTheme="majorHAnsi" w:hAnsiTheme="majorHAnsi"/>
          <w:sz w:val="24"/>
          <w:szCs w:val="24"/>
        </w:rPr>
        <w:t xml:space="preserve">m the Building Rehabilitation Grant application has not yet been completed;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rPr>
          <w:rFonts w:asciiTheme="majorHAnsi" w:hAnsiTheme="majorHAnsi"/>
          <w:b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       </w:t>
      </w:r>
      <w:r w:rsidRPr="00873639">
        <w:rPr>
          <w:rFonts w:asciiTheme="majorHAnsi" w:hAnsiTheme="majorHAnsi"/>
          <w:sz w:val="24"/>
          <w:szCs w:val="24"/>
        </w:rPr>
        <w:tab/>
      </w:r>
      <w:r w:rsidRPr="00873639">
        <w:rPr>
          <w:rFonts w:asciiTheme="majorHAnsi" w:hAnsiTheme="majorHAnsi"/>
          <w:b/>
          <w:sz w:val="24"/>
          <w:szCs w:val="24"/>
        </w:rPr>
        <w:t>NOW, THEREFORE, BE IT RESOLVED THAT:</w:t>
      </w:r>
    </w:p>
    <w:p w:rsidR="00D60C1F" w:rsidRPr="00873639" w:rsidRDefault="00873639">
      <w:pPr>
        <w:ind w:left="144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1.    YDDA Board approves the award of a Building Rehab grant as recommended by the Grants Committee.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2.    The award of the grant is contingent on the applicant providing a detailed project schedule/timeline for the previously committed improvements to ensure the project is completed in its entirety.</w:t>
      </w:r>
    </w:p>
    <w:p w:rsidR="00D60C1F" w:rsidRPr="00873639" w:rsidRDefault="00873639">
      <w:pPr>
        <w:ind w:left="144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3.    The grant cover up to 50% of the applicable pro</w:t>
      </w:r>
      <w:r w:rsidRPr="00873639">
        <w:rPr>
          <w:rFonts w:asciiTheme="majorHAnsi" w:hAnsiTheme="majorHAnsi"/>
          <w:sz w:val="24"/>
          <w:szCs w:val="24"/>
        </w:rPr>
        <w:t>ject costs as defined in the program application packet, not to exceed $3,330.</w:t>
      </w:r>
    </w:p>
    <w:p w:rsidR="00D60C1F" w:rsidRPr="00873639" w:rsidRDefault="00873639">
      <w:pPr>
        <w:ind w:left="144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4.    The grant is awarded as a reimbursement to the applicant upon completion of the proposed project and that all applicable program requirements are met, including the rece</w:t>
      </w:r>
      <w:r w:rsidRPr="00873639">
        <w:rPr>
          <w:rFonts w:asciiTheme="majorHAnsi" w:hAnsiTheme="majorHAnsi"/>
          <w:sz w:val="24"/>
          <w:szCs w:val="24"/>
        </w:rPr>
        <w:t xml:space="preserve">ipt of all appropriate required approvals and permits.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5.    All resolutions and parts of resolutions insofar as they conflict with the provisions of this resolution are and the same hereby are rescinded.</w:t>
      </w:r>
    </w:p>
    <w:p w:rsidR="00D60C1F" w:rsidRPr="00873639" w:rsidRDefault="00873639">
      <w:pPr>
        <w:ind w:left="144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144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AYES: Amanda Edmonds, Adam </w:t>
      </w:r>
      <w:proofErr w:type="spellStart"/>
      <w:r w:rsidRPr="00873639">
        <w:rPr>
          <w:rFonts w:asciiTheme="majorHAnsi" w:hAnsiTheme="majorHAnsi"/>
          <w:sz w:val="24"/>
          <w:szCs w:val="24"/>
        </w:rPr>
        <w:t>Gainsely</w:t>
      </w:r>
      <w:proofErr w:type="spellEnd"/>
      <w:proofErr w:type="gramStart"/>
      <w:r w:rsidRPr="00873639">
        <w:rPr>
          <w:rFonts w:asciiTheme="majorHAnsi" w:hAnsiTheme="majorHAnsi"/>
          <w:sz w:val="24"/>
          <w:szCs w:val="24"/>
        </w:rPr>
        <w:t>,  Martha</w:t>
      </w:r>
      <w:proofErr w:type="gramEnd"/>
      <w:r w:rsidRPr="00873639">
        <w:rPr>
          <w:rFonts w:asciiTheme="majorHAnsi" w:hAnsiTheme="majorHAnsi"/>
          <w:sz w:val="24"/>
          <w:szCs w:val="24"/>
        </w:rPr>
        <w:t xml:space="preserve"> Cleary, Ben Harrington, Jelani McGadney, Andrew O’Neal, Mark Teachout, Dieter Otto.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NAYS: None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ABSTAINED: None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YES:     8         NO:    0   </w:t>
      </w:r>
      <w:r w:rsidRPr="00873639">
        <w:rPr>
          <w:rFonts w:asciiTheme="majorHAnsi" w:hAnsiTheme="majorHAnsi"/>
          <w:sz w:val="24"/>
          <w:szCs w:val="24"/>
        </w:rPr>
        <w:tab/>
        <w:t xml:space="preserve">ABSENT: 2        </w:t>
      </w:r>
      <w:r w:rsidRPr="00873639">
        <w:rPr>
          <w:rFonts w:asciiTheme="majorHAnsi" w:hAnsiTheme="majorHAnsi"/>
          <w:sz w:val="24"/>
          <w:szCs w:val="24"/>
        </w:rPr>
        <w:tab/>
        <w:t>VOTE: passed</w:t>
      </w:r>
    </w:p>
    <w:p w:rsidR="00D60C1F" w:rsidRPr="00873639" w:rsidRDefault="00D60C1F">
      <w:pPr>
        <w:ind w:left="1440"/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D60C1F" w:rsidRPr="00873639" w:rsidRDefault="00873639">
      <w:pPr>
        <w:numPr>
          <w:ilvl w:val="0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Old Business </w:t>
      </w:r>
    </w:p>
    <w:p w:rsidR="00D60C1F" w:rsidRPr="00873639" w:rsidRDefault="00873639" w:rsidP="00873639">
      <w:pPr>
        <w:numPr>
          <w:ilvl w:val="0"/>
          <w:numId w:val="3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New Business</w:t>
      </w:r>
    </w:p>
    <w:p w:rsidR="00D60C1F" w:rsidRPr="00873639" w:rsidRDefault="00873639">
      <w:pPr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D60C1F" w:rsidRPr="00873639" w:rsidRDefault="00873639">
      <w:pPr>
        <w:numPr>
          <w:ilvl w:val="1"/>
          <w:numId w:val="2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Legal Services RFQ – Scott </w:t>
      </w:r>
      <w:proofErr w:type="spellStart"/>
      <w:r w:rsidRPr="00873639">
        <w:rPr>
          <w:rFonts w:asciiTheme="majorHAnsi" w:eastAsia="Calibri" w:hAnsiTheme="majorHAnsi" w:cs="Calibri"/>
          <w:sz w:val="24"/>
          <w:szCs w:val="24"/>
        </w:rPr>
        <w:t>Munzel</w:t>
      </w:r>
      <w:proofErr w:type="spellEnd"/>
    </w:p>
    <w:p w:rsidR="00D60C1F" w:rsidRPr="00873639" w:rsidRDefault="00873639" w:rsidP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Discussion ensued over our legal services RFQ. Mr. </w:t>
      </w:r>
      <w:proofErr w:type="spellStart"/>
      <w:r w:rsidRPr="00873639">
        <w:rPr>
          <w:rFonts w:asciiTheme="majorHAnsi" w:eastAsia="Calibri" w:hAnsiTheme="majorHAnsi" w:cs="Calibri"/>
          <w:sz w:val="24"/>
          <w:szCs w:val="24"/>
        </w:rPr>
        <w:t>Munzel</w:t>
      </w:r>
      <w:proofErr w:type="spellEnd"/>
      <w:r w:rsidRPr="00873639">
        <w:rPr>
          <w:rFonts w:asciiTheme="majorHAnsi" w:eastAsia="Calibri" w:hAnsiTheme="majorHAnsi" w:cs="Calibri"/>
          <w:sz w:val="24"/>
          <w:szCs w:val="24"/>
        </w:rPr>
        <w:t xml:space="preserve"> introduced himself 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and fielded questions by the DDA Board.  </w:t>
      </w:r>
    </w:p>
    <w:p w:rsidR="00D60C1F" w:rsidRPr="00873639" w:rsidRDefault="00873639" w:rsidP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Motion by Adam Gainsley, supported by Dieter Otto to recommend hiring Scott </w:t>
      </w:r>
      <w:proofErr w:type="spellStart"/>
      <w:r w:rsidRPr="00873639">
        <w:rPr>
          <w:rFonts w:asciiTheme="majorHAnsi" w:eastAsia="Calibri" w:hAnsiTheme="majorHAnsi" w:cs="Calibri"/>
          <w:sz w:val="24"/>
          <w:szCs w:val="24"/>
        </w:rPr>
        <w:t>Munzel</w:t>
      </w:r>
      <w:proofErr w:type="spellEnd"/>
      <w:r w:rsidRPr="00873639">
        <w:rPr>
          <w:rFonts w:asciiTheme="majorHAnsi" w:eastAsia="Calibri" w:hAnsiTheme="majorHAnsi" w:cs="Calibri"/>
          <w:sz w:val="24"/>
          <w:szCs w:val="24"/>
        </w:rPr>
        <w:t xml:space="preserve"> as DDA attorney. Motion Carried - unanimous. </w:t>
      </w:r>
    </w:p>
    <w:p w:rsidR="00D60C1F" w:rsidRPr="00873639" w:rsidRDefault="00D60C1F">
      <w:pPr>
        <w:ind w:left="720"/>
        <w:rPr>
          <w:rFonts w:asciiTheme="majorHAnsi" w:eastAsia="Calibri" w:hAnsiTheme="majorHAnsi" w:cs="Calibri"/>
          <w:b/>
          <w:sz w:val="24"/>
          <w:szCs w:val="24"/>
        </w:rPr>
      </w:pPr>
    </w:p>
    <w:p w:rsidR="00D60C1F" w:rsidRPr="00873639" w:rsidRDefault="00873639" w:rsidP="00873639">
      <w:pPr>
        <w:numPr>
          <w:ilvl w:val="0"/>
          <w:numId w:val="4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Propose</w:t>
      </w:r>
      <w:r w:rsidRPr="00873639">
        <w:rPr>
          <w:rFonts w:asciiTheme="majorHAnsi" w:eastAsia="Calibri" w:hAnsiTheme="majorHAnsi" w:cs="Calibri"/>
          <w:b/>
          <w:sz w:val="24"/>
          <w:szCs w:val="24"/>
        </w:rPr>
        <w:t>d Business</w:t>
      </w:r>
    </w:p>
    <w:p w:rsidR="00D60C1F" w:rsidRPr="00873639" w:rsidRDefault="00873639" w:rsidP="00873639">
      <w:pPr>
        <w:numPr>
          <w:ilvl w:val="1"/>
          <w:numId w:val="4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DDA Board Gathering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 - Joe informed the Board that we are good for April 27 at RAC. Additional information to follow.</w:t>
      </w:r>
    </w:p>
    <w:p w:rsidR="00D60C1F" w:rsidRPr="00873639" w:rsidRDefault="00873639" w:rsidP="00873639">
      <w:pPr>
        <w:numPr>
          <w:ilvl w:val="1"/>
          <w:numId w:val="4"/>
        </w:numPr>
        <w:contextualSpacing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 xml:space="preserve">Frog Island Parking Lot Request - </w:t>
      </w:r>
      <w:r w:rsidRPr="00873639">
        <w:rPr>
          <w:rFonts w:asciiTheme="majorHAnsi" w:eastAsia="Calibri" w:hAnsiTheme="majorHAnsi" w:cs="Calibri"/>
          <w:sz w:val="24"/>
          <w:szCs w:val="24"/>
        </w:rPr>
        <w:t>Discussion ensued over the request from the city assist in funding the gathering of cost estim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ates for removing the recycling center and the redoing the parking lot with the extra spaces. A resolution was presented to assist in funding the cost estimate in the amount not to exceed $25,000. </w:t>
      </w:r>
    </w:p>
    <w:p w:rsidR="00D60C1F" w:rsidRPr="00873639" w:rsidRDefault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The commission discussed if the resolution and request be </w:t>
      </w:r>
      <w:r w:rsidRPr="00873639">
        <w:rPr>
          <w:rFonts w:asciiTheme="majorHAnsi" w:eastAsia="Calibri" w:hAnsiTheme="majorHAnsi" w:cs="Calibri"/>
          <w:sz w:val="24"/>
          <w:szCs w:val="24"/>
        </w:rPr>
        <w:t xml:space="preserve">sent to the Operations and Finance Committee. </w:t>
      </w:r>
    </w:p>
    <w:p w:rsidR="00D60C1F" w:rsidRPr="00873639" w:rsidRDefault="00873639">
      <w:pPr>
        <w:ind w:left="1440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 xml:space="preserve">Motion by Ben Harrington, supported by Andrew O’Neal to send the resolution to the Operations and Finance Committee. Motion carried on a roll call vote. </w:t>
      </w:r>
    </w:p>
    <w:p w:rsidR="00D60C1F" w:rsidRPr="00873639" w:rsidRDefault="00D60C1F">
      <w:pPr>
        <w:ind w:left="1440"/>
        <w:rPr>
          <w:rFonts w:asciiTheme="majorHAnsi" w:hAnsiTheme="majorHAnsi"/>
          <w:sz w:val="24"/>
          <w:szCs w:val="24"/>
        </w:rPr>
      </w:pP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AYES: Amanda Edmonds, Martha Cleary, Ben Harrington, Jelani McGadney, Andrew O’Neal, Mark Teachout, Dieter Otto, Jessica French. </w:t>
      </w:r>
    </w:p>
    <w:p w:rsidR="00D60C1F" w:rsidRPr="00873639" w:rsidRDefault="00873639">
      <w:pPr>
        <w:ind w:left="2160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NAYS: Adam Gainsley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>ABSTAINED: None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 </w:t>
      </w:r>
    </w:p>
    <w:p w:rsidR="00D60C1F" w:rsidRPr="00873639" w:rsidRDefault="00873639">
      <w:pPr>
        <w:ind w:left="2160"/>
        <w:jc w:val="both"/>
        <w:rPr>
          <w:rFonts w:asciiTheme="majorHAnsi" w:hAnsiTheme="majorHAnsi"/>
          <w:sz w:val="24"/>
          <w:szCs w:val="24"/>
        </w:rPr>
      </w:pPr>
      <w:r w:rsidRPr="00873639">
        <w:rPr>
          <w:rFonts w:asciiTheme="majorHAnsi" w:hAnsiTheme="majorHAnsi"/>
          <w:sz w:val="24"/>
          <w:szCs w:val="24"/>
        </w:rPr>
        <w:t xml:space="preserve">YES:     8         NO:   1   </w:t>
      </w:r>
      <w:r w:rsidRPr="00873639">
        <w:rPr>
          <w:rFonts w:asciiTheme="majorHAnsi" w:hAnsiTheme="majorHAnsi"/>
          <w:sz w:val="24"/>
          <w:szCs w:val="24"/>
        </w:rPr>
        <w:tab/>
        <w:t xml:space="preserve">ABSENT: 1        </w:t>
      </w:r>
      <w:r w:rsidRPr="00873639">
        <w:rPr>
          <w:rFonts w:asciiTheme="majorHAnsi" w:hAnsiTheme="majorHAnsi"/>
          <w:sz w:val="24"/>
          <w:szCs w:val="24"/>
        </w:rPr>
        <w:tab/>
        <w:t>VOTE: passed</w:t>
      </w:r>
    </w:p>
    <w:p w:rsidR="00D60C1F" w:rsidRPr="00873639" w:rsidRDefault="00D60C1F">
      <w:pPr>
        <w:ind w:left="1440"/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D60C1F">
      <w:pPr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873639" w:rsidP="00873639">
      <w:pPr>
        <w:pStyle w:val="ListParagraph"/>
        <w:numPr>
          <w:ilvl w:val="0"/>
          <w:numId w:val="4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Staff Updates</w:t>
      </w:r>
    </w:p>
    <w:p w:rsidR="00D60C1F" w:rsidRPr="00873639" w:rsidRDefault="00873639" w:rsidP="00873639">
      <w:pPr>
        <w:numPr>
          <w:ilvl w:val="0"/>
          <w:numId w:val="4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Announcements/Comments</w:t>
      </w:r>
    </w:p>
    <w:p w:rsidR="00D60C1F" w:rsidRPr="00873639" w:rsidRDefault="00873639" w:rsidP="00873639">
      <w:pPr>
        <w:numPr>
          <w:ilvl w:val="0"/>
          <w:numId w:val="4"/>
        </w:numPr>
        <w:contextualSpacing/>
        <w:rPr>
          <w:rFonts w:asciiTheme="majorHAnsi" w:eastAsia="Calibri" w:hAnsiTheme="majorHAnsi" w:cs="Calibri"/>
          <w:b/>
          <w:sz w:val="24"/>
          <w:szCs w:val="24"/>
        </w:rPr>
      </w:pPr>
      <w:r w:rsidRPr="00873639">
        <w:rPr>
          <w:rFonts w:asciiTheme="majorHAnsi" w:eastAsia="Calibri" w:hAnsiTheme="majorHAnsi" w:cs="Calibri"/>
          <w:b/>
          <w:sz w:val="24"/>
          <w:szCs w:val="24"/>
        </w:rPr>
        <w:t>Public Participation</w:t>
      </w:r>
    </w:p>
    <w:p w:rsidR="00873639" w:rsidRDefault="00873639" w:rsidP="00873639">
      <w:pPr>
        <w:ind w:left="720"/>
        <w:contextualSpacing/>
        <w:rPr>
          <w:rFonts w:asciiTheme="majorHAnsi" w:eastAsia="Calibri" w:hAnsiTheme="majorHAnsi" w:cs="Calibri"/>
          <w:b/>
          <w:sz w:val="24"/>
          <w:szCs w:val="24"/>
        </w:rPr>
      </w:pPr>
    </w:p>
    <w:p w:rsidR="00D60C1F" w:rsidRPr="00873639" w:rsidRDefault="00873639" w:rsidP="00873639">
      <w:pPr>
        <w:ind w:left="720"/>
        <w:contextualSpacing/>
        <w:rPr>
          <w:rFonts w:asciiTheme="majorHAnsi" w:eastAsia="Calibri" w:hAnsiTheme="majorHAnsi" w:cs="Calibri"/>
          <w:b/>
          <w:sz w:val="24"/>
          <w:szCs w:val="24"/>
        </w:rPr>
      </w:pPr>
      <w:bookmarkStart w:id="0" w:name="_GoBack"/>
      <w:bookmarkEnd w:id="0"/>
      <w:r w:rsidRPr="00873639">
        <w:rPr>
          <w:rFonts w:asciiTheme="majorHAnsi" w:eastAsia="Calibri" w:hAnsiTheme="majorHAnsi" w:cs="Calibri"/>
          <w:b/>
          <w:sz w:val="24"/>
          <w:szCs w:val="24"/>
        </w:rPr>
        <w:t>Next Meeting: April 19, 8:30 a.m., SPARK East, 215 W. Michigan Ave.</w:t>
      </w:r>
    </w:p>
    <w:p w:rsidR="00D60C1F" w:rsidRPr="00873639" w:rsidRDefault="00873639">
      <w:pPr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ab/>
        <w:t xml:space="preserve">                                                       </w:t>
      </w:r>
    </w:p>
    <w:p w:rsidR="00D60C1F" w:rsidRPr="00873639" w:rsidRDefault="00873639">
      <w:pPr>
        <w:jc w:val="center"/>
        <w:rPr>
          <w:rFonts w:asciiTheme="majorHAnsi" w:eastAsia="Calibri" w:hAnsiTheme="majorHAnsi" w:cs="Calibri"/>
          <w:sz w:val="24"/>
          <w:szCs w:val="24"/>
        </w:rPr>
      </w:pPr>
      <w:r w:rsidRPr="00873639">
        <w:rPr>
          <w:rFonts w:asciiTheme="majorHAnsi" w:eastAsia="Calibri" w:hAnsiTheme="majorHAnsi" w:cs="Calibri"/>
          <w:sz w:val="24"/>
          <w:szCs w:val="24"/>
        </w:rPr>
        <w:t>Key: (*) = items requiring Board action      (X) = documents attached in board packet</w:t>
      </w:r>
    </w:p>
    <w:p w:rsidR="00D60C1F" w:rsidRPr="00873639" w:rsidRDefault="00D60C1F">
      <w:pPr>
        <w:jc w:val="center"/>
        <w:rPr>
          <w:rFonts w:asciiTheme="majorHAnsi" w:eastAsia="Calibri" w:hAnsiTheme="majorHAnsi" w:cs="Calibri"/>
          <w:sz w:val="24"/>
          <w:szCs w:val="24"/>
        </w:rPr>
      </w:pPr>
    </w:p>
    <w:p w:rsidR="00D60C1F" w:rsidRPr="00873639" w:rsidRDefault="00D60C1F">
      <w:pPr>
        <w:rPr>
          <w:rFonts w:asciiTheme="majorHAnsi" w:eastAsia="Times New Roman" w:hAnsiTheme="majorHAnsi" w:cs="Times New Roman"/>
          <w:sz w:val="24"/>
          <w:szCs w:val="24"/>
        </w:rPr>
      </w:pPr>
    </w:p>
    <w:sectPr w:rsidR="00D60C1F" w:rsidRPr="008736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83FC6"/>
    <w:multiLevelType w:val="multilevel"/>
    <w:tmpl w:val="7D14D984"/>
    <w:lvl w:ilvl="0">
      <w:start w:val="9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b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436540A8"/>
    <w:multiLevelType w:val="multilevel"/>
    <w:tmpl w:val="4FD6378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5E5410FF"/>
    <w:multiLevelType w:val="multilevel"/>
    <w:tmpl w:val="4FAA7FE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/>
        <w:i w:val="0"/>
        <w:color w:val="000000"/>
        <w:sz w:val="24"/>
        <w:szCs w:val="24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rFonts w:ascii="Arial" w:eastAsia="Arial" w:hAnsi="Arial" w:cs="Arial"/>
        <w:b/>
        <w:i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62AB0436"/>
    <w:multiLevelType w:val="multilevel"/>
    <w:tmpl w:val="43883144"/>
    <w:lvl w:ilvl="0">
      <w:start w:val="9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 w:hint="default"/>
        <w:b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>
    <w:nsid w:val="799C39D1"/>
    <w:multiLevelType w:val="multilevel"/>
    <w:tmpl w:val="85686E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/>
        <w:i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0C1F"/>
    <w:rsid w:val="00873639"/>
    <w:rsid w:val="00D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FB949-3F39-4A6B-B43B-ED62F1D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7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6320</Characters>
  <Application>Microsoft Office Word</Application>
  <DocSecurity>0</DocSecurity>
  <Lines>52</Lines>
  <Paragraphs>14</Paragraphs>
  <ScaleCrop>false</ScaleCrop>
  <Company>Washtenaw County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Meyers</cp:lastModifiedBy>
  <cp:revision>2</cp:revision>
  <dcterms:created xsi:type="dcterms:W3CDTF">2018-04-16T20:57:00Z</dcterms:created>
  <dcterms:modified xsi:type="dcterms:W3CDTF">2018-04-16T20:59:00Z</dcterms:modified>
</cp:coreProperties>
</file>